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8C602" w14:textId="77305046" w:rsidR="00227E16" w:rsidRPr="00227E16" w:rsidRDefault="00227E16" w:rsidP="00227E16">
      <w:pPr>
        <w:tabs>
          <w:tab w:val="left" w:pos="400"/>
        </w:tabs>
        <w:spacing w:beforeLines="20" w:before="48" w:afterLines="20" w:after="48"/>
        <w:ind w:left="360" w:hanging="360"/>
        <w:contextualSpacing/>
        <w:jc w:val="right"/>
        <w:rPr>
          <w:rFonts w:ascii="Lato" w:hAnsi="Lato"/>
        </w:rPr>
      </w:pPr>
      <w:r w:rsidRPr="00227E16">
        <w:rPr>
          <w:rFonts w:ascii="Lato" w:hAnsi="Lato"/>
        </w:rPr>
        <w:t xml:space="preserve">Załącznik nr 2 do Wzoru Umowy </w:t>
      </w:r>
    </w:p>
    <w:p w14:paraId="2FE83C1A" w14:textId="77777777" w:rsidR="00227E16" w:rsidRPr="00227E16" w:rsidRDefault="00227E16" w:rsidP="00227E16">
      <w:pPr>
        <w:tabs>
          <w:tab w:val="left" w:pos="400"/>
        </w:tabs>
        <w:spacing w:beforeLines="20" w:before="48" w:afterLines="20" w:after="48"/>
        <w:contextualSpacing/>
        <w:jc w:val="both"/>
        <w:rPr>
          <w:rFonts w:ascii="Lato" w:hAnsi="Lato"/>
        </w:rPr>
      </w:pPr>
    </w:p>
    <w:p w14:paraId="204F3F1C" w14:textId="65C79A6C" w:rsidR="00227E16" w:rsidRPr="00227E16" w:rsidRDefault="00227E16" w:rsidP="00227E16">
      <w:pPr>
        <w:tabs>
          <w:tab w:val="left" w:pos="400"/>
        </w:tabs>
        <w:spacing w:beforeLines="20" w:before="48" w:afterLines="20" w:after="48"/>
        <w:contextualSpacing/>
        <w:jc w:val="center"/>
        <w:rPr>
          <w:rFonts w:ascii="Lato" w:hAnsi="Lato"/>
          <w:b/>
          <w:bCs/>
        </w:rPr>
      </w:pPr>
      <w:r w:rsidRPr="00227E16">
        <w:rPr>
          <w:rFonts w:ascii="Lato" w:hAnsi="Lato"/>
          <w:b/>
          <w:bCs/>
        </w:rPr>
        <w:t>Wytyczne dotyczące odbioru prac</w:t>
      </w:r>
    </w:p>
    <w:p w14:paraId="1987E2ED" w14:textId="77777777" w:rsidR="00227E16" w:rsidRPr="00227E16" w:rsidRDefault="00227E16" w:rsidP="00227E16">
      <w:pPr>
        <w:tabs>
          <w:tab w:val="left" w:pos="400"/>
        </w:tabs>
        <w:spacing w:beforeLines="20" w:before="48" w:afterLines="20" w:after="48"/>
        <w:contextualSpacing/>
        <w:jc w:val="both"/>
        <w:rPr>
          <w:rFonts w:ascii="Lato" w:hAnsi="Lato" w:cs="Bookman Old Style"/>
          <w:bCs/>
        </w:rPr>
      </w:pPr>
    </w:p>
    <w:p w14:paraId="7272EC75" w14:textId="0788789D" w:rsidR="00227E16" w:rsidRPr="00227E16" w:rsidRDefault="00227E16" w:rsidP="00FC6180">
      <w:pPr>
        <w:numPr>
          <w:ilvl w:val="0"/>
          <w:numId w:val="1"/>
        </w:numPr>
        <w:tabs>
          <w:tab w:val="left" w:pos="400"/>
        </w:tabs>
        <w:spacing w:beforeLines="20" w:before="48" w:afterLines="20" w:after="48"/>
        <w:contextualSpacing/>
        <w:jc w:val="both"/>
        <w:rPr>
          <w:rFonts w:ascii="Lato" w:hAnsi="Lato" w:cs="Bookman Old Style"/>
          <w:bCs/>
        </w:rPr>
      </w:pPr>
      <w:r w:rsidRPr="00227E16">
        <w:rPr>
          <w:rFonts w:ascii="Lato" w:hAnsi="Lato" w:cs="Bookman Old Style"/>
          <w:bCs/>
        </w:rPr>
        <w:t>Podstawą odbioru wykonanych poszczególnych części przedmiotu Umowy będą raporty i protokoły cząstkowe wynikające z kontroli jakości danych teledetekcyjnych pozyskiwanych i wytwarzanych na danym etapie realizacji projektu.</w:t>
      </w:r>
    </w:p>
    <w:p w14:paraId="3DE62B75" w14:textId="77777777" w:rsidR="00227E16" w:rsidRPr="00227E16" w:rsidRDefault="00227E16" w:rsidP="00FC6180">
      <w:pPr>
        <w:numPr>
          <w:ilvl w:val="0"/>
          <w:numId w:val="1"/>
        </w:numPr>
        <w:tabs>
          <w:tab w:val="left" w:pos="400"/>
        </w:tabs>
        <w:spacing w:beforeLines="20" w:before="48" w:afterLines="20" w:after="48"/>
        <w:contextualSpacing/>
        <w:jc w:val="both"/>
        <w:rPr>
          <w:rFonts w:ascii="Lato" w:hAnsi="Lato" w:cs="Bookman Old Style"/>
          <w:bCs/>
        </w:rPr>
      </w:pPr>
      <w:bookmarkStart w:id="0" w:name="_Hlk212721742"/>
      <w:r w:rsidRPr="00227E16">
        <w:rPr>
          <w:rFonts w:ascii="Lato" w:hAnsi="Lato" w:cs="Bookman Old Style"/>
          <w:bCs/>
        </w:rPr>
        <w:t>Podstawą uznania za należycie wykonany przedmiot Umowy jest podpisanie bez uwag protokołu odbioru końcowego.</w:t>
      </w:r>
    </w:p>
    <w:bookmarkEnd w:id="0"/>
    <w:p w14:paraId="54934A6E" w14:textId="77777777" w:rsidR="00FE2C76" w:rsidRPr="00BB6DFF" w:rsidRDefault="00FE2C76" w:rsidP="00FC6180">
      <w:pPr>
        <w:numPr>
          <w:ilvl w:val="0"/>
          <w:numId w:val="1"/>
        </w:numPr>
        <w:spacing w:after="0"/>
        <w:rPr>
          <w:rFonts w:ascii="Lato" w:hAnsi="Lato"/>
        </w:rPr>
      </w:pPr>
      <w:r w:rsidRPr="00BB6DFF">
        <w:rPr>
          <w:rFonts w:ascii="Lato" w:hAnsi="Lato"/>
        </w:rPr>
        <w:t>Zamawiający przekaże Wykonawcy opracowane produkty fotogrametryczne oraz Raport techniczny z pozyskania i przetworzenia danych teledetekcyjnych, w sposób uzgodniony z Wykonawcą. Zgłoszenie gotowości do przekazania danych do kontroli odbędzie się drogą elektroniczną.</w:t>
      </w:r>
    </w:p>
    <w:p w14:paraId="319B393A" w14:textId="77777777" w:rsidR="00FE2C76" w:rsidRPr="00BB6DFF" w:rsidRDefault="00FE2C76" w:rsidP="00FC6180">
      <w:pPr>
        <w:numPr>
          <w:ilvl w:val="0"/>
          <w:numId w:val="1"/>
        </w:numPr>
        <w:spacing w:after="0"/>
        <w:rPr>
          <w:rFonts w:ascii="Lato" w:hAnsi="Lato"/>
        </w:rPr>
      </w:pPr>
      <w:r w:rsidRPr="00BB6DFF">
        <w:rPr>
          <w:rFonts w:ascii="Lato" w:hAnsi="Lato"/>
        </w:rPr>
        <w:t>Wykonawca przekaże uwagi dla produktów w terminie do 1</w:t>
      </w:r>
      <w:r>
        <w:rPr>
          <w:rFonts w:ascii="Lato" w:hAnsi="Lato"/>
        </w:rPr>
        <w:t>4</w:t>
      </w:r>
      <w:r w:rsidRPr="00BB6DFF">
        <w:rPr>
          <w:rFonts w:ascii="Lato" w:hAnsi="Lato"/>
        </w:rPr>
        <w:t xml:space="preserve"> dni od daty zgłoszenia przez Zamawiającego gotowości do przekazania danych do kontroli.</w:t>
      </w:r>
    </w:p>
    <w:p w14:paraId="2AEF22B0" w14:textId="77777777" w:rsidR="00FE2C76" w:rsidRPr="00BB6DFF" w:rsidRDefault="00FE2C76" w:rsidP="00FC6180">
      <w:pPr>
        <w:numPr>
          <w:ilvl w:val="0"/>
          <w:numId w:val="1"/>
        </w:numPr>
        <w:spacing w:after="0"/>
        <w:rPr>
          <w:rFonts w:ascii="Lato" w:hAnsi="Lato"/>
          <w:bCs/>
        </w:rPr>
      </w:pPr>
      <w:r w:rsidRPr="00BB6DFF">
        <w:rPr>
          <w:rFonts w:ascii="Lato" w:hAnsi="Lato"/>
          <w:bCs/>
        </w:rPr>
        <w:t>Wykonawca ma obowiązek zgłosić ewentualne uwagi lub zastrzeżenia Zamawiającemu, jednorazowo w sposób kompletny dla ocenianego produktu.</w:t>
      </w:r>
    </w:p>
    <w:p w14:paraId="331291C1" w14:textId="77777777" w:rsidR="00FE2C76" w:rsidRPr="00BB6DFF" w:rsidRDefault="00FE2C76" w:rsidP="00FC6180">
      <w:pPr>
        <w:numPr>
          <w:ilvl w:val="0"/>
          <w:numId w:val="1"/>
        </w:numPr>
        <w:spacing w:after="0"/>
        <w:rPr>
          <w:rFonts w:ascii="Lato" w:hAnsi="Lato"/>
          <w:bCs/>
        </w:rPr>
      </w:pPr>
      <w:r w:rsidRPr="00BB6DFF">
        <w:rPr>
          <w:rFonts w:ascii="Lato" w:hAnsi="Lato"/>
          <w:bCs/>
        </w:rPr>
        <w:t>Wykonawca przedstawi zakres zgłoszonych uwag w trybie roboczym w celu omówienia ich zasadności i podjęcia decyzji przez Zamawiającego o zakresie ich uwzględnienia i przekazania do wykonawcy zadania Teledetekcyjnego.</w:t>
      </w:r>
    </w:p>
    <w:p w14:paraId="6A6E6E74" w14:textId="77777777" w:rsidR="00FE2C76" w:rsidRPr="00BB6DFF" w:rsidRDefault="00FE2C76" w:rsidP="00FC6180">
      <w:pPr>
        <w:numPr>
          <w:ilvl w:val="0"/>
          <w:numId w:val="1"/>
        </w:numPr>
        <w:spacing w:after="0"/>
        <w:rPr>
          <w:rFonts w:ascii="Lato" w:hAnsi="Lato"/>
        </w:rPr>
      </w:pPr>
      <w:r w:rsidRPr="00BB6DFF">
        <w:rPr>
          <w:rFonts w:ascii="Lato" w:hAnsi="Lato"/>
        </w:rPr>
        <w:t>W przypadku uwag do produktów ze strony Wykonawcy, uwagi zostaną przekazane do wykonawcy Zadania Teledetekcyjnego.</w:t>
      </w:r>
    </w:p>
    <w:p w14:paraId="29905413" w14:textId="1DE978CF" w:rsidR="00FE2C76" w:rsidRPr="00BB6DFF" w:rsidRDefault="00FE2C76" w:rsidP="00FC6180">
      <w:pPr>
        <w:numPr>
          <w:ilvl w:val="0"/>
          <w:numId w:val="1"/>
        </w:numPr>
        <w:spacing w:after="0"/>
        <w:rPr>
          <w:rFonts w:ascii="Lato" w:hAnsi="Lato"/>
        </w:rPr>
      </w:pPr>
      <w:r w:rsidRPr="00BB6DFF">
        <w:rPr>
          <w:rFonts w:ascii="Lato" w:hAnsi="Lato"/>
        </w:rPr>
        <w:t>Po wniesieniu poprawek Zamawiający ponownie zgłosi gotowość do przekazania danych do kontroli przekaże wyniki w sposób uzgodniony z Wykonawcą.</w:t>
      </w:r>
    </w:p>
    <w:p w14:paraId="20F62104" w14:textId="77777777" w:rsidR="00FE2C76" w:rsidRPr="00BB6DFF" w:rsidRDefault="00FE2C76" w:rsidP="00FC6180">
      <w:pPr>
        <w:numPr>
          <w:ilvl w:val="0"/>
          <w:numId w:val="1"/>
        </w:numPr>
        <w:spacing w:after="0"/>
        <w:rPr>
          <w:rFonts w:ascii="Lato" w:hAnsi="Lato"/>
        </w:rPr>
      </w:pPr>
      <w:r w:rsidRPr="00BB6DFF">
        <w:rPr>
          <w:rFonts w:ascii="Lato" w:hAnsi="Lato"/>
        </w:rPr>
        <w:t>Wykonawca przekaże Raport z kontroli w terminie do 7 dni od daty ponownego przekazania danych do kontroli.</w:t>
      </w:r>
    </w:p>
    <w:p w14:paraId="1D5D4E34" w14:textId="77777777" w:rsidR="00FE2C76" w:rsidRPr="00BB6DFF" w:rsidRDefault="00FE2C76" w:rsidP="00FC6180">
      <w:pPr>
        <w:numPr>
          <w:ilvl w:val="0"/>
          <w:numId w:val="1"/>
        </w:numPr>
        <w:spacing w:after="0"/>
        <w:rPr>
          <w:rFonts w:ascii="Lato" w:hAnsi="Lato"/>
        </w:rPr>
      </w:pPr>
      <w:r w:rsidRPr="00BB6DFF">
        <w:rPr>
          <w:rFonts w:ascii="Lato" w:hAnsi="Lato"/>
        </w:rPr>
        <w:t xml:space="preserve">Ostateczna decyzja o przyjęciu lub odrzuceniu danych fotogrametrycznych należy do Zamawiającego. </w:t>
      </w:r>
    </w:p>
    <w:p w14:paraId="2EE4B608" w14:textId="3A6CA6E8" w:rsidR="00227E16" w:rsidRDefault="00227E16" w:rsidP="00FC6180">
      <w:pPr>
        <w:numPr>
          <w:ilvl w:val="0"/>
          <w:numId w:val="1"/>
        </w:numPr>
        <w:tabs>
          <w:tab w:val="left" w:pos="400"/>
        </w:tabs>
        <w:spacing w:beforeLines="20" w:before="48" w:afterLines="20" w:after="48"/>
        <w:contextualSpacing/>
        <w:jc w:val="both"/>
        <w:rPr>
          <w:rFonts w:ascii="Lato" w:hAnsi="Lato" w:cs="Bookman Old Style"/>
          <w:bCs/>
          <w:i/>
          <w:iCs/>
        </w:rPr>
      </w:pPr>
      <w:r w:rsidRPr="00FE2C76">
        <w:rPr>
          <w:rStyle w:val="Uwydatnienie"/>
          <w:rFonts w:ascii="Lato" w:hAnsi="Lato"/>
          <w:i w:val="0"/>
          <w:iCs w:val="0"/>
        </w:rPr>
        <w:t>Zmiana osób odpowiedzialnych za realizację umowy wymaga zgody Zamawiającego. Nowa osoba musi posiadać kwalifikacje nie gorsze niż osoba pierwotnie wskazana w ofercie.</w:t>
      </w:r>
    </w:p>
    <w:p w14:paraId="1728267A" w14:textId="532F0282" w:rsidR="00227E16" w:rsidRPr="00227E16" w:rsidRDefault="00227E16" w:rsidP="00FC6180">
      <w:pPr>
        <w:pStyle w:val="Akapitzlist"/>
        <w:numPr>
          <w:ilvl w:val="0"/>
          <w:numId w:val="1"/>
        </w:numPr>
        <w:spacing w:after="0"/>
        <w:jc w:val="both"/>
        <w:rPr>
          <w:rFonts w:ascii="Lato" w:hAnsi="Lato" w:cstheme="majorHAnsi"/>
          <w:bCs/>
        </w:rPr>
      </w:pPr>
      <w:r w:rsidRPr="00227E16">
        <w:rPr>
          <w:rFonts w:ascii="Lato" w:hAnsi="Lato" w:cstheme="majorHAnsi"/>
          <w:bCs/>
        </w:rPr>
        <w:t>Struktura raportu oceny</w:t>
      </w:r>
      <w:r w:rsidR="00FC6180">
        <w:rPr>
          <w:rFonts w:ascii="Lato" w:hAnsi="Lato" w:cstheme="majorHAnsi"/>
          <w:bCs/>
        </w:rPr>
        <w:t>:</w:t>
      </w:r>
    </w:p>
    <w:p w14:paraId="7A58DA6D" w14:textId="54844954" w:rsidR="00227E16" w:rsidRPr="00FC6180" w:rsidRDefault="00227E16" w:rsidP="00FC6180">
      <w:pPr>
        <w:pStyle w:val="Akapitzlist"/>
        <w:numPr>
          <w:ilvl w:val="0"/>
          <w:numId w:val="11"/>
        </w:numPr>
        <w:spacing w:after="0"/>
        <w:jc w:val="both"/>
        <w:rPr>
          <w:rFonts w:ascii="Lato" w:hAnsi="Lato" w:cstheme="majorHAnsi"/>
          <w:u w:val="single"/>
        </w:rPr>
      </w:pPr>
      <w:r w:rsidRPr="00FC6180">
        <w:rPr>
          <w:rFonts w:ascii="Lato" w:hAnsi="Lato" w:cstheme="majorHAnsi"/>
          <w:u w:val="single"/>
        </w:rPr>
        <w:t>Strona tytułowa</w:t>
      </w:r>
      <w:r w:rsidR="00FC6180" w:rsidRPr="00FC6180">
        <w:rPr>
          <w:rFonts w:ascii="Lato" w:hAnsi="Lato" w:cstheme="majorHAnsi"/>
          <w:u w:val="single"/>
        </w:rPr>
        <w:t>:</w:t>
      </w:r>
    </w:p>
    <w:p w14:paraId="3DC08C12" w14:textId="38C5AC9D" w:rsidR="00227E16" w:rsidRPr="00227E16" w:rsidRDefault="00227E16" w:rsidP="00FC6180">
      <w:pPr>
        <w:pStyle w:val="Akapitzlist"/>
        <w:numPr>
          <w:ilvl w:val="0"/>
          <w:numId w:val="2"/>
        </w:numPr>
        <w:ind w:left="993"/>
        <w:jc w:val="both"/>
        <w:rPr>
          <w:rFonts w:ascii="Lato" w:hAnsi="Lato" w:cstheme="majorHAnsi"/>
        </w:rPr>
      </w:pPr>
      <w:r w:rsidRPr="00227E16">
        <w:rPr>
          <w:rFonts w:ascii="Lato" w:hAnsi="Lato" w:cstheme="majorHAnsi"/>
        </w:rPr>
        <w:t>Nazwa projektu</w:t>
      </w:r>
      <w:r w:rsidR="00FC6180">
        <w:rPr>
          <w:rFonts w:ascii="Lato" w:hAnsi="Lato" w:cstheme="majorHAnsi"/>
        </w:rPr>
        <w:t>;</w:t>
      </w:r>
    </w:p>
    <w:p w14:paraId="1ECA6DC6" w14:textId="127BDDA0" w:rsidR="00227E16" w:rsidRPr="00227E16" w:rsidRDefault="00227E16" w:rsidP="00FC6180">
      <w:pPr>
        <w:pStyle w:val="Akapitzlist"/>
        <w:numPr>
          <w:ilvl w:val="0"/>
          <w:numId w:val="2"/>
        </w:numPr>
        <w:ind w:left="993"/>
        <w:jc w:val="both"/>
        <w:rPr>
          <w:rFonts w:ascii="Lato" w:hAnsi="Lato" w:cstheme="majorHAnsi"/>
        </w:rPr>
      </w:pPr>
      <w:r w:rsidRPr="00227E16">
        <w:rPr>
          <w:rFonts w:ascii="Lato" w:hAnsi="Lato" w:cstheme="majorHAnsi"/>
        </w:rPr>
        <w:t>Numer raportu</w:t>
      </w:r>
      <w:r w:rsidR="00FC6180">
        <w:rPr>
          <w:rFonts w:ascii="Lato" w:hAnsi="Lato" w:cstheme="majorHAnsi"/>
        </w:rPr>
        <w:t>;</w:t>
      </w:r>
    </w:p>
    <w:p w14:paraId="56E21999" w14:textId="34F20DC1" w:rsidR="00227E16" w:rsidRPr="00227E16" w:rsidRDefault="00227E16" w:rsidP="00FC6180">
      <w:pPr>
        <w:pStyle w:val="Akapitzlist"/>
        <w:numPr>
          <w:ilvl w:val="0"/>
          <w:numId w:val="2"/>
        </w:numPr>
        <w:ind w:left="993"/>
        <w:jc w:val="both"/>
        <w:rPr>
          <w:rFonts w:ascii="Lato" w:hAnsi="Lato" w:cstheme="majorHAnsi"/>
        </w:rPr>
      </w:pPr>
      <w:r w:rsidRPr="00227E16">
        <w:rPr>
          <w:rFonts w:ascii="Lato" w:hAnsi="Lato" w:cstheme="majorHAnsi"/>
        </w:rPr>
        <w:t>Data wykonania analizy</w:t>
      </w:r>
      <w:r w:rsidR="00FC6180">
        <w:rPr>
          <w:rFonts w:ascii="Lato" w:hAnsi="Lato" w:cstheme="majorHAnsi"/>
        </w:rPr>
        <w:t>;</w:t>
      </w:r>
    </w:p>
    <w:p w14:paraId="3AFCE62A" w14:textId="45067BA8" w:rsidR="00227E16" w:rsidRPr="00227E16" w:rsidRDefault="00227E16" w:rsidP="00FC6180">
      <w:pPr>
        <w:pStyle w:val="Akapitzlist"/>
        <w:numPr>
          <w:ilvl w:val="0"/>
          <w:numId w:val="2"/>
        </w:numPr>
        <w:ind w:left="993"/>
        <w:jc w:val="both"/>
        <w:rPr>
          <w:rFonts w:ascii="Lato" w:hAnsi="Lato" w:cstheme="majorHAnsi"/>
        </w:rPr>
      </w:pPr>
      <w:r w:rsidRPr="00227E16">
        <w:rPr>
          <w:rFonts w:ascii="Lato" w:hAnsi="Lato" w:cstheme="majorHAnsi"/>
        </w:rPr>
        <w:t>Podmiot realizujący nadzór</w:t>
      </w:r>
      <w:r w:rsidR="00FC6180">
        <w:rPr>
          <w:rFonts w:ascii="Lato" w:hAnsi="Lato" w:cstheme="majorHAnsi"/>
        </w:rPr>
        <w:t>;</w:t>
      </w:r>
    </w:p>
    <w:p w14:paraId="13169C19" w14:textId="24C2AE01" w:rsidR="00227E16" w:rsidRPr="00227E16" w:rsidRDefault="00227E16" w:rsidP="00FC6180">
      <w:pPr>
        <w:pStyle w:val="Akapitzlist"/>
        <w:numPr>
          <w:ilvl w:val="0"/>
          <w:numId w:val="2"/>
        </w:numPr>
        <w:ind w:left="993"/>
        <w:jc w:val="both"/>
        <w:rPr>
          <w:rFonts w:ascii="Lato" w:hAnsi="Lato" w:cstheme="majorHAnsi"/>
        </w:rPr>
      </w:pPr>
      <w:r w:rsidRPr="00227E16">
        <w:rPr>
          <w:rFonts w:ascii="Lato" w:hAnsi="Lato" w:cstheme="majorHAnsi"/>
        </w:rPr>
        <w:t>Osoba odpowiedzialna za opracowanie raportu</w:t>
      </w:r>
      <w:r w:rsidR="00FC6180">
        <w:rPr>
          <w:rFonts w:ascii="Lato" w:hAnsi="Lato" w:cstheme="majorHAnsi"/>
        </w:rPr>
        <w:t>.</w:t>
      </w:r>
    </w:p>
    <w:p w14:paraId="656F1F74" w14:textId="15DD21F8" w:rsidR="00227E16" w:rsidRPr="00FC6180" w:rsidRDefault="00227E16" w:rsidP="00FC6180">
      <w:pPr>
        <w:pStyle w:val="Akapitzlist"/>
        <w:numPr>
          <w:ilvl w:val="0"/>
          <w:numId w:val="11"/>
        </w:numPr>
        <w:spacing w:after="0"/>
        <w:jc w:val="both"/>
        <w:rPr>
          <w:rFonts w:ascii="Lato" w:hAnsi="Lato" w:cstheme="majorHAnsi"/>
          <w:u w:val="single"/>
        </w:rPr>
      </w:pPr>
      <w:r w:rsidRPr="00FC6180">
        <w:rPr>
          <w:rFonts w:ascii="Lato" w:hAnsi="Lato" w:cstheme="majorHAnsi"/>
          <w:u w:val="single"/>
        </w:rPr>
        <w:t>Opis danych poddanych ocenie</w:t>
      </w:r>
      <w:r w:rsidR="00FC6180" w:rsidRPr="00FC6180">
        <w:rPr>
          <w:rFonts w:ascii="Lato" w:hAnsi="Lato" w:cstheme="majorHAnsi"/>
          <w:u w:val="single"/>
        </w:rPr>
        <w:t>:</w:t>
      </w:r>
    </w:p>
    <w:p w14:paraId="7316A411" w14:textId="41F2B945" w:rsidR="00227E16" w:rsidRPr="00227E16" w:rsidRDefault="00227E16" w:rsidP="00FC6180">
      <w:pPr>
        <w:pStyle w:val="Akapitzlist"/>
        <w:numPr>
          <w:ilvl w:val="0"/>
          <w:numId w:val="13"/>
        </w:numPr>
        <w:ind w:left="993"/>
        <w:jc w:val="both"/>
        <w:rPr>
          <w:rFonts w:ascii="Lato" w:hAnsi="Lato" w:cstheme="majorHAnsi"/>
        </w:rPr>
      </w:pPr>
      <w:r w:rsidRPr="00227E16">
        <w:rPr>
          <w:rFonts w:ascii="Lato" w:hAnsi="Lato" w:cstheme="majorHAnsi"/>
        </w:rPr>
        <w:t>Rodzaj danych (np. chmura punktów ALS, ortofotomapa, dane hiperspektralne)</w:t>
      </w:r>
      <w:r w:rsidR="00FC6180">
        <w:rPr>
          <w:rFonts w:ascii="Lato" w:hAnsi="Lato" w:cstheme="majorHAnsi"/>
        </w:rPr>
        <w:t>;</w:t>
      </w:r>
    </w:p>
    <w:p w14:paraId="46A114D7" w14:textId="17BA6383" w:rsidR="00227E16" w:rsidRPr="00227E16" w:rsidRDefault="00227E16" w:rsidP="00FC6180">
      <w:pPr>
        <w:pStyle w:val="Akapitzlist"/>
        <w:numPr>
          <w:ilvl w:val="0"/>
          <w:numId w:val="13"/>
        </w:numPr>
        <w:ind w:left="993"/>
        <w:jc w:val="both"/>
        <w:rPr>
          <w:rFonts w:ascii="Lato" w:hAnsi="Lato" w:cstheme="majorHAnsi"/>
        </w:rPr>
      </w:pPr>
      <w:r w:rsidRPr="00227E16">
        <w:rPr>
          <w:rFonts w:ascii="Lato" w:hAnsi="Lato" w:cstheme="majorHAnsi"/>
        </w:rPr>
        <w:lastRenderedPageBreak/>
        <w:t>Termin pozyskania danych</w:t>
      </w:r>
      <w:r w:rsidR="00FC6180">
        <w:rPr>
          <w:rFonts w:ascii="Lato" w:hAnsi="Lato" w:cstheme="majorHAnsi"/>
        </w:rPr>
        <w:t>;</w:t>
      </w:r>
    </w:p>
    <w:p w14:paraId="2CA94EE7" w14:textId="64884B17" w:rsidR="00227E16" w:rsidRPr="00227E16" w:rsidRDefault="00227E16" w:rsidP="00FC6180">
      <w:pPr>
        <w:pStyle w:val="Akapitzlist"/>
        <w:numPr>
          <w:ilvl w:val="0"/>
          <w:numId w:val="13"/>
        </w:numPr>
        <w:ind w:left="993"/>
        <w:jc w:val="both"/>
        <w:rPr>
          <w:rFonts w:ascii="Lato" w:hAnsi="Lato" w:cstheme="majorHAnsi"/>
        </w:rPr>
      </w:pPr>
      <w:r w:rsidRPr="00227E16">
        <w:rPr>
          <w:rFonts w:ascii="Lato" w:hAnsi="Lato" w:cstheme="majorHAnsi"/>
        </w:rPr>
        <w:t>Zakres przestrzenny</w:t>
      </w:r>
      <w:r w:rsidR="00FC6180">
        <w:rPr>
          <w:rFonts w:ascii="Lato" w:hAnsi="Lato" w:cstheme="majorHAnsi"/>
        </w:rPr>
        <w:t>;</w:t>
      </w:r>
    </w:p>
    <w:p w14:paraId="7644C2BD" w14:textId="5BB59B87" w:rsidR="00227E16" w:rsidRPr="00227E16" w:rsidRDefault="00227E16" w:rsidP="00FC6180">
      <w:pPr>
        <w:pStyle w:val="Akapitzlist"/>
        <w:numPr>
          <w:ilvl w:val="0"/>
          <w:numId w:val="13"/>
        </w:numPr>
        <w:ind w:left="993"/>
        <w:jc w:val="both"/>
        <w:rPr>
          <w:rFonts w:ascii="Lato" w:hAnsi="Lato" w:cstheme="majorHAnsi"/>
        </w:rPr>
      </w:pPr>
      <w:r w:rsidRPr="00227E16">
        <w:rPr>
          <w:rFonts w:ascii="Lato" w:hAnsi="Lato" w:cstheme="majorHAnsi"/>
        </w:rPr>
        <w:t>Źródło danych</w:t>
      </w:r>
      <w:r w:rsidR="00FC6180">
        <w:rPr>
          <w:rFonts w:ascii="Lato" w:hAnsi="Lato" w:cstheme="majorHAnsi"/>
        </w:rPr>
        <w:t>.</w:t>
      </w:r>
    </w:p>
    <w:p w14:paraId="46EFD029" w14:textId="5F6CE595" w:rsidR="00227E16" w:rsidRPr="00FC6180" w:rsidRDefault="00227E16" w:rsidP="00FC6180">
      <w:pPr>
        <w:pStyle w:val="Akapitzlist"/>
        <w:numPr>
          <w:ilvl w:val="0"/>
          <w:numId w:val="11"/>
        </w:numPr>
        <w:spacing w:after="0"/>
        <w:jc w:val="both"/>
        <w:rPr>
          <w:rFonts w:ascii="Lato" w:hAnsi="Lato" w:cstheme="majorHAnsi"/>
          <w:u w:val="single"/>
        </w:rPr>
      </w:pPr>
      <w:r w:rsidRPr="00FC6180">
        <w:rPr>
          <w:rFonts w:ascii="Lato" w:hAnsi="Lato" w:cstheme="majorHAnsi"/>
          <w:u w:val="single"/>
        </w:rPr>
        <w:t>Metodyka oceny jakości</w:t>
      </w:r>
      <w:r w:rsidR="00FC6180" w:rsidRPr="00FC6180">
        <w:rPr>
          <w:rFonts w:ascii="Lato" w:hAnsi="Lato" w:cstheme="majorHAnsi"/>
          <w:u w:val="single"/>
        </w:rPr>
        <w:t>:</w:t>
      </w:r>
    </w:p>
    <w:p w14:paraId="79118657" w14:textId="21379E43" w:rsidR="00227E16" w:rsidRPr="00227E16" w:rsidRDefault="00227E16" w:rsidP="00FC6180">
      <w:pPr>
        <w:pStyle w:val="Akapitzlist"/>
        <w:numPr>
          <w:ilvl w:val="0"/>
          <w:numId w:val="12"/>
        </w:numPr>
        <w:ind w:left="993" w:hanging="349"/>
        <w:jc w:val="both"/>
        <w:rPr>
          <w:rFonts w:ascii="Lato" w:hAnsi="Lato" w:cstheme="majorHAnsi"/>
        </w:rPr>
      </w:pPr>
      <w:r w:rsidRPr="00227E16">
        <w:rPr>
          <w:rFonts w:ascii="Lato" w:hAnsi="Lato" w:cstheme="majorHAnsi"/>
        </w:rPr>
        <w:t>Zastosowane techniki weryfikacji (np. analiza histogramów, porównanie z danymi referencyjnymi, ocena geometryczna)</w:t>
      </w:r>
      <w:r w:rsidR="00FC6180">
        <w:rPr>
          <w:rFonts w:ascii="Lato" w:hAnsi="Lato" w:cstheme="majorHAnsi"/>
        </w:rPr>
        <w:t>;</w:t>
      </w:r>
    </w:p>
    <w:p w14:paraId="305BA274" w14:textId="6DBF2922" w:rsidR="00227E16" w:rsidRPr="00227E16" w:rsidRDefault="00227E16" w:rsidP="00FC6180">
      <w:pPr>
        <w:pStyle w:val="Akapitzlist"/>
        <w:numPr>
          <w:ilvl w:val="0"/>
          <w:numId w:val="12"/>
        </w:numPr>
        <w:spacing w:after="0"/>
        <w:ind w:left="993" w:hanging="349"/>
        <w:jc w:val="both"/>
        <w:rPr>
          <w:rFonts w:ascii="Lato" w:hAnsi="Lato" w:cstheme="majorHAnsi"/>
        </w:rPr>
      </w:pPr>
      <w:r w:rsidRPr="00227E16">
        <w:rPr>
          <w:rFonts w:ascii="Lato" w:hAnsi="Lato" w:cstheme="majorHAnsi"/>
        </w:rPr>
        <w:t>Użyte narzędzia (oprogramowanie GIS, algorytmy przetwarzania)</w:t>
      </w:r>
      <w:r w:rsidR="00FC6180">
        <w:rPr>
          <w:rFonts w:ascii="Lato" w:hAnsi="Lato" w:cstheme="majorHAnsi"/>
        </w:rPr>
        <w:t>;</w:t>
      </w:r>
    </w:p>
    <w:p w14:paraId="467416E1" w14:textId="5999F16A" w:rsidR="00227E16" w:rsidRPr="00227E16" w:rsidRDefault="00227E16" w:rsidP="00FC6180">
      <w:pPr>
        <w:pStyle w:val="Akapitzlist"/>
        <w:numPr>
          <w:ilvl w:val="0"/>
          <w:numId w:val="12"/>
        </w:numPr>
        <w:ind w:left="993" w:hanging="349"/>
        <w:jc w:val="both"/>
        <w:rPr>
          <w:rFonts w:ascii="Lato" w:hAnsi="Lato" w:cstheme="majorHAnsi"/>
        </w:rPr>
      </w:pPr>
      <w:r w:rsidRPr="00227E16">
        <w:rPr>
          <w:rFonts w:ascii="Lato" w:hAnsi="Lato" w:cstheme="majorHAnsi"/>
        </w:rPr>
        <w:t>Kryteria oceny (np. dokładność georeferencji, rozdzielczość, jakość radiometryczna)</w:t>
      </w:r>
      <w:r w:rsidR="00FC6180">
        <w:rPr>
          <w:rFonts w:ascii="Lato" w:hAnsi="Lato" w:cstheme="majorHAnsi"/>
        </w:rPr>
        <w:t>.</w:t>
      </w:r>
    </w:p>
    <w:p w14:paraId="6E9E8E4D" w14:textId="2848780F" w:rsidR="00227E16" w:rsidRPr="00FC6180" w:rsidRDefault="00227E16" w:rsidP="00FC6180">
      <w:pPr>
        <w:pStyle w:val="Akapitzlist"/>
        <w:numPr>
          <w:ilvl w:val="0"/>
          <w:numId w:val="11"/>
        </w:numPr>
        <w:spacing w:after="0"/>
        <w:jc w:val="both"/>
        <w:rPr>
          <w:rFonts w:ascii="Lato" w:hAnsi="Lato" w:cstheme="majorHAnsi"/>
          <w:u w:val="single"/>
        </w:rPr>
      </w:pPr>
      <w:r w:rsidRPr="00FC6180">
        <w:rPr>
          <w:rFonts w:ascii="Lato" w:hAnsi="Lato" w:cstheme="majorHAnsi"/>
          <w:u w:val="single"/>
        </w:rPr>
        <w:t>Wyniki kontroli jakości</w:t>
      </w:r>
      <w:r w:rsidR="00FC6180" w:rsidRPr="00FC6180">
        <w:rPr>
          <w:rFonts w:ascii="Lato" w:hAnsi="Lato" w:cstheme="majorHAnsi"/>
          <w:u w:val="single"/>
        </w:rPr>
        <w:t>:</w:t>
      </w:r>
    </w:p>
    <w:p w14:paraId="53C614A3" w14:textId="4275BA06" w:rsidR="00227E16" w:rsidRPr="00227E16" w:rsidRDefault="00227E16" w:rsidP="00FC6180">
      <w:pPr>
        <w:pStyle w:val="Akapitzlist"/>
        <w:numPr>
          <w:ilvl w:val="0"/>
          <w:numId w:val="5"/>
        </w:numPr>
        <w:ind w:left="993"/>
        <w:jc w:val="both"/>
        <w:rPr>
          <w:rFonts w:ascii="Lato" w:hAnsi="Lato" w:cstheme="majorHAnsi"/>
        </w:rPr>
      </w:pPr>
      <w:r w:rsidRPr="00227E16">
        <w:rPr>
          <w:rFonts w:ascii="Lato" w:hAnsi="Lato" w:cstheme="majorHAnsi"/>
        </w:rPr>
        <w:t>Podsumowanie zgodności z wymaganiami określonymi w OPZ</w:t>
      </w:r>
      <w:r w:rsidR="00FC6180">
        <w:rPr>
          <w:rFonts w:ascii="Lato" w:hAnsi="Lato" w:cstheme="majorHAnsi"/>
        </w:rPr>
        <w:t>;</w:t>
      </w:r>
    </w:p>
    <w:p w14:paraId="71128402" w14:textId="396E5BC3" w:rsidR="00227E16" w:rsidRPr="00227E16" w:rsidRDefault="00227E16" w:rsidP="00FC6180">
      <w:pPr>
        <w:pStyle w:val="Akapitzlist"/>
        <w:numPr>
          <w:ilvl w:val="0"/>
          <w:numId w:val="5"/>
        </w:numPr>
        <w:ind w:left="993"/>
        <w:jc w:val="both"/>
        <w:rPr>
          <w:rFonts w:ascii="Lato" w:hAnsi="Lato" w:cstheme="majorHAnsi"/>
        </w:rPr>
      </w:pPr>
      <w:r w:rsidRPr="00227E16">
        <w:rPr>
          <w:rFonts w:ascii="Lato" w:hAnsi="Lato" w:cstheme="majorHAnsi"/>
        </w:rPr>
        <w:t>Wykryte niezgodności (z podziałem na kategorie: krytyczne, istotne, drobne)</w:t>
      </w:r>
      <w:r w:rsidR="00FC6180">
        <w:rPr>
          <w:rFonts w:ascii="Lato" w:hAnsi="Lato" w:cstheme="majorHAnsi"/>
        </w:rPr>
        <w:t>;</w:t>
      </w:r>
    </w:p>
    <w:p w14:paraId="6E5F35E9" w14:textId="59C30AAD" w:rsidR="00227E16" w:rsidRPr="00227E16" w:rsidRDefault="00227E16" w:rsidP="00FC6180">
      <w:pPr>
        <w:pStyle w:val="Akapitzlist"/>
        <w:numPr>
          <w:ilvl w:val="0"/>
          <w:numId w:val="5"/>
        </w:numPr>
        <w:spacing w:after="0"/>
        <w:ind w:left="993"/>
        <w:jc w:val="both"/>
        <w:rPr>
          <w:rFonts w:ascii="Lato" w:hAnsi="Lato" w:cstheme="majorHAnsi"/>
        </w:rPr>
      </w:pPr>
      <w:r w:rsidRPr="00227E16">
        <w:rPr>
          <w:rFonts w:ascii="Lato" w:hAnsi="Lato" w:cstheme="majorHAnsi"/>
        </w:rPr>
        <w:t>Wartości statystyczne błędów (np. RMSE dla georeferencji, procent pokrycia chmurą punktów)</w:t>
      </w:r>
      <w:r w:rsidR="00FC6180">
        <w:rPr>
          <w:rFonts w:ascii="Lato" w:hAnsi="Lato" w:cstheme="majorHAnsi"/>
        </w:rPr>
        <w:t>;</w:t>
      </w:r>
    </w:p>
    <w:p w14:paraId="55A42F25" w14:textId="2A7D6996" w:rsidR="00227E16" w:rsidRPr="00227E16" w:rsidRDefault="00227E16" w:rsidP="00FC6180">
      <w:pPr>
        <w:pStyle w:val="Akapitzlist"/>
        <w:numPr>
          <w:ilvl w:val="0"/>
          <w:numId w:val="5"/>
        </w:numPr>
        <w:ind w:left="993"/>
        <w:jc w:val="both"/>
        <w:rPr>
          <w:rFonts w:ascii="Lato" w:hAnsi="Lato" w:cstheme="majorHAnsi"/>
        </w:rPr>
      </w:pPr>
      <w:r w:rsidRPr="00227E16">
        <w:rPr>
          <w:rFonts w:ascii="Lato" w:hAnsi="Lato" w:cstheme="majorHAnsi"/>
        </w:rPr>
        <w:t>Graficzne przedstawienie błędów (np. mapa różnic, wykresy histogramów)</w:t>
      </w:r>
      <w:r w:rsidR="00FC6180">
        <w:rPr>
          <w:rFonts w:ascii="Lato" w:hAnsi="Lato" w:cstheme="majorHAnsi"/>
        </w:rPr>
        <w:t>.</w:t>
      </w:r>
    </w:p>
    <w:p w14:paraId="16B16FE4" w14:textId="30F375D4" w:rsidR="00227E16" w:rsidRPr="00FC6180" w:rsidRDefault="00227E16" w:rsidP="00FC6180">
      <w:pPr>
        <w:pStyle w:val="Akapitzlist"/>
        <w:numPr>
          <w:ilvl w:val="0"/>
          <w:numId w:val="11"/>
        </w:numPr>
        <w:spacing w:after="0"/>
        <w:jc w:val="both"/>
        <w:rPr>
          <w:rFonts w:ascii="Lato" w:hAnsi="Lato" w:cstheme="majorHAnsi"/>
          <w:u w:val="single"/>
        </w:rPr>
      </w:pPr>
      <w:r w:rsidRPr="00FC6180">
        <w:rPr>
          <w:rFonts w:ascii="Lato" w:hAnsi="Lato" w:cstheme="majorHAnsi"/>
          <w:u w:val="single"/>
        </w:rPr>
        <w:t>Zalecenia i rekomendacje</w:t>
      </w:r>
      <w:r w:rsidR="00FC6180" w:rsidRPr="00FC6180">
        <w:rPr>
          <w:rFonts w:ascii="Lato" w:hAnsi="Lato" w:cstheme="majorHAnsi"/>
          <w:u w:val="single"/>
        </w:rPr>
        <w:t>:</w:t>
      </w:r>
    </w:p>
    <w:p w14:paraId="301E4250" w14:textId="63C08D40" w:rsidR="00227E16" w:rsidRPr="00227E16" w:rsidRDefault="00227E16" w:rsidP="00FC6180">
      <w:pPr>
        <w:pStyle w:val="Akapitzlist"/>
        <w:numPr>
          <w:ilvl w:val="0"/>
          <w:numId w:val="6"/>
        </w:numPr>
        <w:ind w:left="993"/>
        <w:jc w:val="both"/>
        <w:rPr>
          <w:rFonts w:ascii="Lato" w:hAnsi="Lato" w:cstheme="majorHAnsi"/>
        </w:rPr>
      </w:pPr>
      <w:r w:rsidRPr="00227E16">
        <w:rPr>
          <w:rFonts w:ascii="Lato" w:hAnsi="Lato" w:cstheme="majorHAnsi"/>
        </w:rPr>
        <w:t>Opis koniecznych korekt</w:t>
      </w:r>
      <w:r w:rsidR="00FC6180">
        <w:rPr>
          <w:rFonts w:ascii="Lato" w:hAnsi="Lato" w:cstheme="majorHAnsi"/>
        </w:rPr>
        <w:t>;</w:t>
      </w:r>
    </w:p>
    <w:p w14:paraId="13E2D1A7" w14:textId="6CF7AFA2" w:rsidR="00227E16" w:rsidRPr="00227E16" w:rsidRDefault="00227E16" w:rsidP="00FC6180">
      <w:pPr>
        <w:pStyle w:val="Akapitzlist"/>
        <w:numPr>
          <w:ilvl w:val="0"/>
          <w:numId w:val="6"/>
        </w:numPr>
        <w:spacing w:before="240"/>
        <w:ind w:left="993"/>
        <w:jc w:val="both"/>
        <w:rPr>
          <w:rFonts w:ascii="Lato" w:hAnsi="Lato" w:cstheme="majorHAnsi"/>
        </w:rPr>
      </w:pPr>
      <w:r w:rsidRPr="00227E16">
        <w:rPr>
          <w:rFonts w:ascii="Lato" w:hAnsi="Lato" w:cstheme="majorHAnsi"/>
        </w:rPr>
        <w:t>Sugestie dotyczące przyszłego pozyskiwania danych</w:t>
      </w:r>
      <w:r w:rsidR="00FC6180">
        <w:rPr>
          <w:rFonts w:ascii="Lato" w:hAnsi="Lato" w:cstheme="majorHAnsi"/>
        </w:rPr>
        <w:t>;</w:t>
      </w:r>
    </w:p>
    <w:p w14:paraId="7F91BE4B" w14:textId="7519BC74" w:rsidR="00227E16" w:rsidRPr="00227E16" w:rsidRDefault="00227E16" w:rsidP="00FC6180">
      <w:pPr>
        <w:pStyle w:val="Akapitzlist"/>
        <w:numPr>
          <w:ilvl w:val="0"/>
          <w:numId w:val="6"/>
        </w:numPr>
        <w:ind w:left="993"/>
        <w:jc w:val="both"/>
        <w:rPr>
          <w:rFonts w:ascii="Lato" w:hAnsi="Lato" w:cstheme="majorHAnsi"/>
        </w:rPr>
      </w:pPr>
      <w:r w:rsidRPr="00227E16">
        <w:rPr>
          <w:rFonts w:ascii="Lato" w:hAnsi="Lato" w:cstheme="majorHAnsi"/>
        </w:rPr>
        <w:t>Zalecenia dotyczące metod przetwarzania</w:t>
      </w:r>
      <w:r w:rsidR="00FC6180">
        <w:rPr>
          <w:rFonts w:ascii="Lato" w:hAnsi="Lato" w:cstheme="majorHAnsi"/>
        </w:rPr>
        <w:t>.</w:t>
      </w:r>
    </w:p>
    <w:p w14:paraId="153E4028" w14:textId="5691C305" w:rsidR="00227E16" w:rsidRPr="00FC6180" w:rsidRDefault="00227E16" w:rsidP="00FC6180">
      <w:pPr>
        <w:pStyle w:val="Akapitzlist"/>
        <w:numPr>
          <w:ilvl w:val="0"/>
          <w:numId w:val="11"/>
        </w:numPr>
        <w:spacing w:after="0"/>
        <w:jc w:val="both"/>
        <w:rPr>
          <w:rFonts w:ascii="Lato" w:hAnsi="Lato" w:cstheme="majorHAnsi"/>
          <w:u w:val="single"/>
        </w:rPr>
      </w:pPr>
      <w:r w:rsidRPr="00FC6180">
        <w:rPr>
          <w:rFonts w:ascii="Lato" w:hAnsi="Lato" w:cstheme="majorHAnsi"/>
          <w:u w:val="single"/>
        </w:rPr>
        <w:t>Podsumowanie i decyzja</w:t>
      </w:r>
      <w:r w:rsidR="00FC6180" w:rsidRPr="00FC6180">
        <w:rPr>
          <w:rFonts w:ascii="Lato" w:hAnsi="Lato" w:cstheme="majorHAnsi"/>
          <w:u w:val="single"/>
        </w:rPr>
        <w:t>:</w:t>
      </w:r>
    </w:p>
    <w:p w14:paraId="102FEA38" w14:textId="77777777" w:rsidR="00227E16" w:rsidRPr="00227E16" w:rsidRDefault="00227E16" w:rsidP="00FC6180">
      <w:pPr>
        <w:pStyle w:val="Akapitzlist"/>
        <w:numPr>
          <w:ilvl w:val="0"/>
          <w:numId w:val="7"/>
        </w:numPr>
        <w:ind w:left="993"/>
        <w:jc w:val="both"/>
        <w:rPr>
          <w:rFonts w:ascii="Lato" w:hAnsi="Lato" w:cstheme="majorHAnsi"/>
        </w:rPr>
      </w:pPr>
      <w:r w:rsidRPr="00227E16">
        <w:rPr>
          <w:rFonts w:ascii="Lato" w:hAnsi="Lato" w:cstheme="majorHAnsi"/>
        </w:rPr>
        <w:t>Akceptacja lub odrzucenie danych</w:t>
      </w:r>
    </w:p>
    <w:p w14:paraId="193915DA" w14:textId="77777777" w:rsidR="00227E16" w:rsidRPr="00227E16" w:rsidRDefault="00227E16" w:rsidP="00FC6180">
      <w:pPr>
        <w:pStyle w:val="Akapitzlist"/>
        <w:numPr>
          <w:ilvl w:val="0"/>
          <w:numId w:val="7"/>
        </w:numPr>
        <w:ind w:left="993"/>
        <w:jc w:val="both"/>
        <w:rPr>
          <w:rFonts w:ascii="Lato" w:hAnsi="Lato" w:cstheme="majorHAnsi"/>
        </w:rPr>
      </w:pPr>
      <w:r w:rsidRPr="00227E16">
        <w:rPr>
          <w:rFonts w:ascii="Lato" w:hAnsi="Lato" w:cstheme="majorHAnsi"/>
        </w:rPr>
        <w:t>Wskazanie zakresu koniecznych poprawek</w:t>
      </w:r>
    </w:p>
    <w:p w14:paraId="3E0805D1" w14:textId="77777777" w:rsidR="00227E16" w:rsidRPr="00227E16" w:rsidRDefault="00227E16" w:rsidP="00227E16">
      <w:pPr>
        <w:pStyle w:val="Akapitzlist"/>
        <w:jc w:val="both"/>
        <w:rPr>
          <w:rFonts w:ascii="Lato" w:hAnsi="Lato" w:cstheme="majorHAnsi"/>
        </w:rPr>
      </w:pPr>
    </w:p>
    <w:p w14:paraId="5ABB693E" w14:textId="77777777" w:rsidR="00474B0D" w:rsidRDefault="00474B0D" w:rsidP="00227E16">
      <w:pPr>
        <w:rPr>
          <w:rFonts w:ascii="Lato" w:hAnsi="Lato"/>
        </w:rPr>
      </w:pPr>
    </w:p>
    <w:p w14:paraId="1A3F4327" w14:textId="77777777" w:rsidR="00BB6DFF" w:rsidRDefault="00BB6DFF" w:rsidP="00227E16">
      <w:pPr>
        <w:rPr>
          <w:rFonts w:ascii="Lato" w:hAnsi="Lato"/>
        </w:rPr>
      </w:pPr>
    </w:p>
    <w:p w14:paraId="4082CB52" w14:textId="628BABB5" w:rsidR="00BB6DFF" w:rsidRPr="00BB6DFF" w:rsidRDefault="00BB6DFF" w:rsidP="00BB6DFF">
      <w:pPr>
        <w:rPr>
          <w:rFonts w:ascii="Lato" w:hAnsi="Lato"/>
          <w:b/>
          <w:bCs/>
        </w:rPr>
      </w:pPr>
    </w:p>
    <w:sectPr w:rsidR="00BB6DFF" w:rsidRPr="00BB6DF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C674C" w14:textId="77777777" w:rsidR="008430C3" w:rsidRDefault="008430C3" w:rsidP="00227E16">
      <w:pPr>
        <w:spacing w:after="0" w:line="240" w:lineRule="auto"/>
      </w:pPr>
      <w:r>
        <w:separator/>
      </w:r>
    </w:p>
  </w:endnote>
  <w:endnote w:type="continuationSeparator" w:id="0">
    <w:p w14:paraId="5DF758CF" w14:textId="77777777" w:rsidR="008430C3" w:rsidRDefault="008430C3" w:rsidP="00227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6D39D" w14:textId="77777777" w:rsidR="00227E16" w:rsidRDefault="00227E16" w:rsidP="00227E16">
    <w:pPr>
      <w:pStyle w:val="Stopka"/>
    </w:pPr>
    <w:r>
      <w:rPr>
        <w:noProof/>
      </w:rPr>
      <w:drawing>
        <wp:inline distT="0" distB="0" distL="0" distR="0" wp14:anchorId="4D8B75CE" wp14:editId="7A334A4E">
          <wp:extent cx="5761355" cy="822960"/>
          <wp:effectExtent l="0" t="0" r="0" b="0"/>
          <wp:docPr id="152711259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0210361" w14:textId="77777777" w:rsidR="00227E16" w:rsidRPr="00D62B5D" w:rsidRDefault="00227E16" w:rsidP="00227E16">
    <w:pPr>
      <w:pStyle w:val="Stopka"/>
      <w:jc w:val="center"/>
      <w:rPr>
        <w:rFonts w:ascii="Lato" w:hAnsi="Lato"/>
      </w:rPr>
    </w:pPr>
    <w:r>
      <w:rPr>
        <w:rFonts w:ascii="Lato" w:hAnsi="Lato"/>
      </w:rPr>
      <w:t xml:space="preserve">Strona </w:t>
    </w:r>
    <w:r>
      <w:rPr>
        <w:rStyle w:val="NrStronyZnak"/>
        <w:rFonts w:ascii="Lato" w:hAnsi="Lato"/>
        <w:b/>
      </w:rPr>
      <w:fldChar w:fldCharType="begin"/>
    </w:r>
    <w:r>
      <w:rPr>
        <w:rStyle w:val="NrStronyZnak"/>
        <w:rFonts w:ascii="Lato" w:hAnsi="Lato"/>
        <w:b/>
      </w:rPr>
      <w:instrText xml:space="preserve"> PAGE </w:instrText>
    </w:r>
    <w:r>
      <w:rPr>
        <w:rStyle w:val="NrStronyZnak"/>
        <w:rFonts w:ascii="Lato" w:hAnsi="Lato"/>
        <w:b/>
      </w:rPr>
      <w:fldChar w:fldCharType="separate"/>
    </w:r>
    <w:r>
      <w:rPr>
        <w:rStyle w:val="NrStronyZnak"/>
        <w:rFonts w:ascii="Lato" w:hAnsi="Lato"/>
        <w:b/>
      </w:rPr>
      <w:t>12</w:t>
    </w:r>
    <w:r>
      <w:rPr>
        <w:rStyle w:val="NrStronyZnak"/>
        <w:rFonts w:ascii="Lato" w:hAnsi="Lato"/>
        <w:b/>
      </w:rPr>
      <w:fldChar w:fldCharType="end"/>
    </w:r>
    <w:r>
      <w:rPr>
        <w:rStyle w:val="NrStronyZnak"/>
        <w:rFonts w:ascii="Lato" w:hAnsi="Lato"/>
      </w:rPr>
      <w:t>/</w:t>
    </w:r>
    <w:r>
      <w:rPr>
        <w:rStyle w:val="NrStronyZnak"/>
        <w:rFonts w:ascii="Lato" w:hAnsi="Lato"/>
      </w:rPr>
      <w:fldChar w:fldCharType="begin"/>
    </w:r>
    <w:r>
      <w:rPr>
        <w:rStyle w:val="NrStronyZnak"/>
        <w:rFonts w:ascii="Lato" w:hAnsi="Lato"/>
      </w:rPr>
      <w:instrText xml:space="preserve"> NUMPAGES </w:instrText>
    </w:r>
    <w:r>
      <w:rPr>
        <w:rStyle w:val="NrStronyZnak"/>
        <w:rFonts w:ascii="Lato" w:hAnsi="Lato"/>
      </w:rPr>
      <w:fldChar w:fldCharType="separate"/>
    </w:r>
    <w:r>
      <w:rPr>
        <w:rStyle w:val="NrStronyZnak"/>
        <w:rFonts w:ascii="Lato" w:hAnsi="Lato"/>
      </w:rPr>
      <w:t>20</w:t>
    </w:r>
    <w:r>
      <w:rPr>
        <w:rStyle w:val="NrStronyZnak"/>
        <w:rFonts w:ascii="Lato" w:hAnsi="La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936AB" w14:textId="77777777" w:rsidR="008430C3" w:rsidRDefault="008430C3" w:rsidP="00227E16">
      <w:pPr>
        <w:spacing w:after="0" w:line="240" w:lineRule="auto"/>
      </w:pPr>
      <w:r>
        <w:separator/>
      </w:r>
    </w:p>
  </w:footnote>
  <w:footnote w:type="continuationSeparator" w:id="0">
    <w:p w14:paraId="0E6415A1" w14:textId="77777777" w:rsidR="008430C3" w:rsidRDefault="008430C3" w:rsidP="00227E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227E16" w:rsidRPr="00DB6541" w14:paraId="7AF544B0" w14:textId="77777777" w:rsidTr="00D62B5D">
      <w:trPr>
        <w:cantSplit/>
        <w:trHeight w:val="390"/>
      </w:trPr>
      <w:tc>
        <w:tcPr>
          <w:tcW w:w="3647" w:type="dxa"/>
          <w:gridSpan w:val="2"/>
        </w:tcPr>
        <w:p w14:paraId="11A9C224" w14:textId="77777777" w:rsidR="00227E16" w:rsidRPr="00DB6541" w:rsidRDefault="00227E16" w:rsidP="00227E1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Lato" w:hAnsi="Lato" w:cs="Times New Roman"/>
              <w:kern w:val="2"/>
              <w:sz w:val="20"/>
              <w14:ligatures w14:val="standardContextual"/>
            </w:rPr>
          </w:pPr>
          <w:bookmarkStart w:id="1" w:name="_Hlk116890312"/>
          <w:r w:rsidRPr="00DB6541">
            <w:rPr>
              <w:rFonts w:ascii="Lato" w:hAnsi="Lato" w:cs="Times New Roman"/>
              <w:noProof/>
              <w:kern w:val="2"/>
              <w:sz w:val="20"/>
              <w:lang w:eastAsia="pl-PL"/>
              <w14:ligatures w14:val="standardContextual"/>
            </w:rPr>
            <w:drawing>
              <wp:inline distT="0" distB="0" distL="0" distR="0" wp14:anchorId="3BD5D4A4" wp14:editId="154B656E">
                <wp:extent cx="1593923" cy="486000"/>
                <wp:effectExtent l="0" t="0" r="6350" b="952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arwianski poziome podstawowe rgb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93923" cy="48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5" w:type="dxa"/>
          <w:gridSpan w:val="2"/>
        </w:tcPr>
        <w:p w14:paraId="388988BD" w14:textId="77777777" w:rsidR="00227E16" w:rsidRPr="00DB6541" w:rsidRDefault="00227E16" w:rsidP="00227E16">
          <w:pPr>
            <w:keepNext/>
            <w:keepLines/>
            <w:spacing w:before="120" w:after="0" w:line="210" w:lineRule="exact"/>
            <w:jc w:val="right"/>
            <w:outlineLvl w:val="0"/>
            <w:rPr>
              <w:rFonts w:ascii="Lato" w:eastAsia="Times New Roman" w:hAnsi="Lato" w:cs="Times New Roman"/>
              <w:bCs/>
              <w:color w:val="323232"/>
              <w:kern w:val="2"/>
              <w:sz w:val="18"/>
              <w:szCs w:val="28"/>
              <w14:ligatures w14:val="standardContextual"/>
            </w:rPr>
          </w:pPr>
          <w:r w:rsidRPr="00DB6541">
            <w:rPr>
              <w:rFonts w:ascii="Lato" w:eastAsia="Times New Roman" w:hAnsi="Lato" w:cs="Times New Roman"/>
              <w:bCs/>
              <w:color w:val="323232"/>
              <w:kern w:val="2"/>
              <w:sz w:val="18"/>
              <w:szCs w:val="28"/>
              <w14:ligatures w14:val="standardContextual"/>
            </w:rPr>
            <w:t xml:space="preserve"> sygnatura dokumentu</w:t>
          </w:r>
        </w:p>
        <w:p w14:paraId="0F4F9434" w14:textId="77777777" w:rsidR="00227E16" w:rsidRPr="00DB6541" w:rsidRDefault="00227E16" w:rsidP="00227E16">
          <w:pPr>
            <w:keepNext/>
            <w:keepLines/>
            <w:spacing w:after="0" w:line="210" w:lineRule="exact"/>
            <w:jc w:val="right"/>
            <w:outlineLvl w:val="1"/>
            <w:rPr>
              <w:rFonts w:ascii="Lato" w:eastAsia="Times New Roman" w:hAnsi="Lato" w:cs="Times New Roman"/>
              <w:b/>
              <w:bCs/>
              <w:color w:val="323232"/>
              <w:kern w:val="2"/>
              <w:sz w:val="18"/>
              <w:szCs w:val="16"/>
              <w14:ligatures w14:val="standardContextual"/>
            </w:rPr>
          </w:pPr>
          <w:r w:rsidRPr="00DB6541">
            <w:rPr>
              <w:rFonts w:ascii="Lato" w:eastAsia="Times New Roman" w:hAnsi="Lato" w:cs="Times New Roman"/>
              <w:b/>
              <w:bCs/>
              <w:color w:val="323232"/>
              <w:kern w:val="2"/>
              <w:sz w:val="18"/>
              <w:szCs w:val="16"/>
              <w14:ligatures w14:val="standardContextual"/>
            </w:rPr>
            <w:t>NPN-</w:t>
          </w:r>
          <w:r w:rsidRPr="00DB6541">
            <w:rPr>
              <w:rFonts w:cs="Times New Roman"/>
              <w:kern w:val="2"/>
              <w14:ligatures w14:val="standardContextual"/>
            </w:rPr>
            <w:t xml:space="preserve"> </w:t>
          </w:r>
          <w:r w:rsidRPr="00DB6541">
            <w:rPr>
              <w:rFonts w:ascii="Lato" w:eastAsia="Times New Roman" w:hAnsi="Lato" w:cs="Times New Roman"/>
              <w:b/>
              <w:bCs/>
              <w:color w:val="323232"/>
              <w:kern w:val="2"/>
              <w:sz w:val="18"/>
              <w:szCs w:val="16"/>
              <w14:ligatures w14:val="standardContextual"/>
            </w:rPr>
            <w:t>FENX.01.05-IW.01-0049-271/1 /2025</w:t>
          </w:r>
        </w:p>
      </w:tc>
    </w:tr>
    <w:bookmarkEnd w:id="1"/>
    <w:tr w:rsidR="00227E16" w:rsidRPr="00DB6541" w14:paraId="36C3CDC5" w14:textId="77777777" w:rsidTr="00D62B5D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2E58FDD0" w14:textId="77777777" w:rsidR="00227E16" w:rsidRPr="00DB6541" w:rsidRDefault="00227E16" w:rsidP="00227E1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Lato" w:hAnsi="Lato" w:cs="Times New Roman"/>
              <w:kern w:val="2"/>
              <w:sz w:val="12"/>
              <w:szCs w:val="12"/>
              <w14:ligatures w14:val="standardContextual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270DE15E" w14:textId="77777777" w:rsidR="00227E16" w:rsidRPr="00DB6541" w:rsidRDefault="00227E16" w:rsidP="00227E1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Lato" w:hAnsi="Lato" w:cs="Times New Roman"/>
              <w:kern w:val="2"/>
              <w:sz w:val="16"/>
              <w:szCs w:val="16"/>
              <w14:ligatures w14:val="standardContextual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5A8B8D97" w14:textId="77777777" w:rsidR="00227E16" w:rsidRPr="00DB6541" w:rsidRDefault="00227E16" w:rsidP="00227E1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Lato" w:hAnsi="Lato" w:cs="Times New Roman"/>
              <w:kern w:val="2"/>
              <w:sz w:val="16"/>
              <w:szCs w:val="16"/>
              <w14:ligatures w14:val="standardContextual"/>
            </w:rPr>
          </w:pPr>
        </w:p>
      </w:tc>
    </w:tr>
    <w:tr w:rsidR="00227E16" w:rsidRPr="00DB6541" w14:paraId="44ACFF95" w14:textId="77777777" w:rsidTr="00D62B5D">
      <w:trPr>
        <w:cantSplit/>
        <w:trHeight w:val="567"/>
      </w:trPr>
      <w:tc>
        <w:tcPr>
          <w:tcW w:w="9242" w:type="dxa"/>
          <w:gridSpan w:val="4"/>
          <w:vAlign w:val="bottom"/>
        </w:tcPr>
        <w:p w14:paraId="10B9D855" w14:textId="77777777" w:rsidR="00227E16" w:rsidRPr="00DB6541" w:rsidRDefault="00227E16" w:rsidP="00227E16">
          <w:pPr>
            <w:spacing w:after="0" w:line="190" w:lineRule="exact"/>
            <w:outlineLvl w:val="2"/>
            <w:rPr>
              <w:rFonts w:ascii="Lato" w:hAnsi="Lato" w:cs="Times New Roman"/>
              <w:color w:val="323232"/>
              <w:kern w:val="2"/>
              <w:sz w:val="16"/>
              <w:szCs w:val="16"/>
              <w14:ligatures w14:val="standardContextual"/>
            </w:rPr>
          </w:pPr>
          <w:r w:rsidRPr="00DB6541">
            <w:rPr>
              <w:rFonts w:ascii="Lato" w:hAnsi="Lato" w:cs="Times New Roman"/>
              <w:color w:val="323232"/>
              <w:kern w:val="2"/>
              <w:sz w:val="16"/>
              <w:szCs w:val="16"/>
              <w14:ligatures w14:val="standardContextual"/>
            </w:rPr>
            <w:t>Kurowo 10 | 18-204 Kobylin Borzymy | tel. 663103109 | npn.gov.pl | e-mail: npn@npn.pl</w:t>
          </w:r>
        </w:p>
      </w:tc>
    </w:tr>
  </w:tbl>
  <w:p w14:paraId="30414636" w14:textId="77777777" w:rsidR="00227E16" w:rsidRDefault="00227E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37DDA"/>
    <w:multiLevelType w:val="hybridMultilevel"/>
    <w:tmpl w:val="10B41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3AB7"/>
    <w:multiLevelType w:val="hybridMultilevel"/>
    <w:tmpl w:val="0DDCFC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362E1"/>
    <w:multiLevelType w:val="hybridMultilevel"/>
    <w:tmpl w:val="5FA807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83FC4"/>
    <w:multiLevelType w:val="hybridMultilevel"/>
    <w:tmpl w:val="218E9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D3B3A"/>
    <w:multiLevelType w:val="hybridMultilevel"/>
    <w:tmpl w:val="406027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B1D18"/>
    <w:multiLevelType w:val="hybridMultilevel"/>
    <w:tmpl w:val="257426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F52840"/>
    <w:multiLevelType w:val="hybridMultilevel"/>
    <w:tmpl w:val="D5302B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C65705"/>
    <w:multiLevelType w:val="hybridMultilevel"/>
    <w:tmpl w:val="3D2AE1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F56D3"/>
    <w:multiLevelType w:val="hybridMultilevel"/>
    <w:tmpl w:val="17662C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767E03"/>
    <w:multiLevelType w:val="hybridMultilevel"/>
    <w:tmpl w:val="37181202"/>
    <w:lvl w:ilvl="0" w:tplc="4D148C04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D815BB"/>
    <w:multiLevelType w:val="hybridMultilevel"/>
    <w:tmpl w:val="D3BC54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672996">
    <w:abstractNumId w:val="9"/>
  </w:num>
  <w:num w:numId="2" w16cid:durableId="16604226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9911597">
    <w:abstractNumId w:val="4"/>
  </w:num>
  <w:num w:numId="4" w16cid:durableId="18959690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29036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4835217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883755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300064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30964613">
    <w:abstractNumId w:val="2"/>
  </w:num>
  <w:num w:numId="10" w16cid:durableId="397899008">
    <w:abstractNumId w:val="3"/>
  </w:num>
  <w:num w:numId="11" w16cid:durableId="943270297">
    <w:abstractNumId w:val="1"/>
  </w:num>
  <w:num w:numId="12" w16cid:durableId="2002351014">
    <w:abstractNumId w:val="0"/>
  </w:num>
  <w:num w:numId="13" w16cid:durableId="3028504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E16"/>
    <w:rsid w:val="000B41A8"/>
    <w:rsid w:val="00227E16"/>
    <w:rsid w:val="00406661"/>
    <w:rsid w:val="00445BEE"/>
    <w:rsid w:val="00474B0D"/>
    <w:rsid w:val="005002A2"/>
    <w:rsid w:val="005046C7"/>
    <w:rsid w:val="005C23AF"/>
    <w:rsid w:val="006543ED"/>
    <w:rsid w:val="00656594"/>
    <w:rsid w:val="00692B8A"/>
    <w:rsid w:val="007A3A90"/>
    <w:rsid w:val="007D407D"/>
    <w:rsid w:val="007E3AE4"/>
    <w:rsid w:val="008430C3"/>
    <w:rsid w:val="008A2ACD"/>
    <w:rsid w:val="00A863C7"/>
    <w:rsid w:val="00BB6DFF"/>
    <w:rsid w:val="00C92887"/>
    <w:rsid w:val="00CA2AB8"/>
    <w:rsid w:val="00DE4770"/>
    <w:rsid w:val="00E85D3F"/>
    <w:rsid w:val="00F24C99"/>
    <w:rsid w:val="00F90E5E"/>
    <w:rsid w:val="00FC6180"/>
    <w:rsid w:val="00FE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2D349"/>
  <w15:chartTrackingRefBased/>
  <w15:docId w15:val="{3191A1C9-3CAA-489C-89BC-7CD9BB826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16"/>
    <w:pPr>
      <w:spacing w:after="200" w:line="276" w:lineRule="auto"/>
    </w:pPr>
    <w:rPr>
      <w:rFonts w:ascii="Calibri" w:eastAsia="Calibri" w:hAnsi="Calibri"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7E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7E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7E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7E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7E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7E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7E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7E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7E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7E1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7E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7E1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7E1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7E1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7E1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7E1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7E1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7E1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7E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7E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7E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7E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7E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7E16"/>
    <w:rPr>
      <w:i/>
      <w:iCs/>
      <w:color w:val="404040" w:themeColor="text1" w:themeTint="BF"/>
    </w:rPr>
  </w:style>
  <w:style w:type="paragraph" w:styleId="Akapitzlist">
    <w:name w:val="List Paragraph"/>
    <w:aliases w:val="Numerowanie,Obiekt,List Paragraph1,wypunktowanie,Preambuła,TRAKO Akapit z listą,Nagłowek 3,L1,Akapit z listą BS,Kolorowa lista — akcent 11,Dot pt,F5 List Paragraph,Recommendation,List Paragraph11,lp1,maz_wyliczenie,opis dzialania,2 headin"/>
    <w:basedOn w:val="Normalny"/>
    <w:link w:val="AkapitzlistZnak"/>
    <w:qFormat/>
    <w:rsid w:val="00227E1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7E1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7E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7E1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7E16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7E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7E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7E16"/>
    <w:rPr>
      <w:rFonts w:ascii="Calibri" w:eastAsia="Calibri" w:hAnsi="Calibri" w:cs="Calibri"/>
      <w:kern w:val="0"/>
      <w:sz w:val="20"/>
      <w:szCs w:val="20"/>
      <w14:ligatures w14:val="none"/>
    </w:rPr>
  </w:style>
  <w:style w:type="character" w:styleId="Uwydatnienie">
    <w:name w:val="Emphasis"/>
    <w:basedOn w:val="Domylnaczcionkaakapitu"/>
    <w:uiPriority w:val="20"/>
    <w:qFormat/>
    <w:rsid w:val="00227E16"/>
    <w:rPr>
      <w:i/>
      <w:iCs/>
    </w:rPr>
  </w:style>
  <w:style w:type="character" w:customStyle="1" w:styleId="AkapitzlistZnak">
    <w:name w:val="Akapit z listą Znak"/>
    <w:aliases w:val="Numerowanie Znak,Obiekt Znak,List Paragraph1 Znak,wypunktowanie Znak,Preambuła Znak,TRAKO Akapit z listą Znak,Nagłowek 3 Znak,L1 Znak,Akapit z listą BS Znak,Kolorowa lista — akcent 11 Znak,Dot pt Znak,F5 List Paragraph Znak,lp1 Znak"/>
    <w:link w:val="Akapitzlist"/>
    <w:qFormat/>
    <w:rsid w:val="00227E16"/>
  </w:style>
  <w:style w:type="paragraph" w:styleId="Nagwek">
    <w:name w:val="header"/>
    <w:basedOn w:val="Normalny"/>
    <w:link w:val="NagwekZnak"/>
    <w:uiPriority w:val="99"/>
    <w:unhideWhenUsed/>
    <w:rsid w:val="00227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7E16"/>
    <w:rPr>
      <w:rFonts w:ascii="Calibri" w:eastAsia="Calibri" w:hAnsi="Calibri" w:cs="Calibr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27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7E16"/>
    <w:rPr>
      <w:rFonts w:ascii="Calibri" w:eastAsia="Calibri" w:hAnsi="Calibri" w:cs="Calibri"/>
      <w:kern w:val="0"/>
      <w14:ligatures w14:val="none"/>
    </w:rPr>
  </w:style>
  <w:style w:type="character" w:customStyle="1" w:styleId="NrStronyZnak">
    <w:name w:val="NrStrony Znak"/>
    <w:basedOn w:val="Domylnaczcionkaakapitu"/>
    <w:link w:val="NrStrony"/>
    <w:uiPriority w:val="8"/>
    <w:qFormat/>
    <w:rsid w:val="00227E16"/>
    <w:rPr>
      <w:rFonts w:ascii="Times New Roman" w:eastAsiaTheme="majorEastAsia" w:hAnsi="Times New Roman" w:cstheme="majorBidi"/>
      <w:bCs/>
      <w:color w:val="323232"/>
      <w:sz w:val="18"/>
      <w:szCs w:val="16"/>
    </w:rPr>
  </w:style>
  <w:style w:type="paragraph" w:customStyle="1" w:styleId="NrStrony">
    <w:name w:val="NrStrony"/>
    <w:basedOn w:val="Nagwek1"/>
    <w:link w:val="NrStronyZnak"/>
    <w:uiPriority w:val="8"/>
    <w:qFormat/>
    <w:rsid w:val="00227E16"/>
    <w:pPr>
      <w:spacing w:before="120" w:after="0" w:line="210" w:lineRule="exact"/>
      <w:jc w:val="center"/>
    </w:pPr>
    <w:rPr>
      <w:rFonts w:ascii="Times New Roman" w:hAnsi="Times New Roman"/>
      <w:bCs/>
      <w:color w:val="323232"/>
      <w:kern w:val="2"/>
      <w:sz w:val="18"/>
      <w:szCs w:val="16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425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10</cp:revision>
  <dcterms:created xsi:type="dcterms:W3CDTF">2025-10-27T13:42:00Z</dcterms:created>
  <dcterms:modified xsi:type="dcterms:W3CDTF">2025-11-24T07:52:00Z</dcterms:modified>
</cp:coreProperties>
</file>